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1" w:rsidRPr="007963DE" w:rsidRDefault="00322055" w:rsidP="00322055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7963DE">
        <w:rPr>
          <w:rFonts w:ascii="Baskerville Old Face" w:hAnsi="Baskerville Old Face"/>
          <w:b/>
          <w:sz w:val="36"/>
          <w:szCs w:val="36"/>
          <w:u w:val="single"/>
        </w:rPr>
        <w:t>The Reading Process</w:t>
      </w:r>
    </w:p>
    <w:p w:rsidR="00322055" w:rsidRPr="007963DE" w:rsidRDefault="00322055" w:rsidP="00322055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7963DE">
        <w:rPr>
          <w:rFonts w:ascii="Baskerville Old Face" w:hAnsi="Baskerville Old Face"/>
          <w:b/>
          <w:sz w:val="24"/>
          <w:szCs w:val="24"/>
        </w:rPr>
        <w:t>Lesson Guide</w:t>
      </w:r>
    </w:p>
    <w:p w:rsidR="00322055" w:rsidRPr="007963DE" w:rsidRDefault="00322055" w:rsidP="00322055">
      <w:pPr>
        <w:pStyle w:val="NoSpacing"/>
        <w:rPr>
          <w:rFonts w:ascii="Baskerville Old Face" w:hAnsi="Baskerville Old Face"/>
          <w:sz w:val="24"/>
          <w:szCs w:val="24"/>
        </w:rPr>
      </w:pPr>
    </w:p>
    <w:p w:rsidR="00322055" w:rsidRPr="007963DE" w:rsidRDefault="00322055" w:rsidP="00322055">
      <w:pPr>
        <w:pStyle w:val="NoSpacing"/>
        <w:rPr>
          <w:rFonts w:ascii="Baskerville Old Face" w:hAnsi="Baskerville Old Face"/>
          <w:sz w:val="24"/>
          <w:szCs w:val="24"/>
        </w:rPr>
      </w:pPr>
      <w:r w:rsidRPr="007963DE">
        <w:rPr>
          <w:rFonts w:ascii="Baskerville Old Face" w:hAnsi="Baskerville Old Face"/>
          <w:sz w:val="24"/>
          <w:szCs w:val="24"/>
        </w:rPr>
        <w:t>This lesson guide meets the following MCCCD RDG100 Course Competencies:</w:t>
      </w:r>
    </w:p>
    <w:p w:rsidR="00322055" w:rsidRPr="007963DE" w:rsidRDefault="00322055" w:rsidP="00322055">
      <w:pPr>
        <w:pStyle w:val="NoSpacing"/>
        <w:rPr>
          <w:rFonts w:ascii="Baskerville Old Face" w:hAnsi="Baskerville Old Face" w:cs="Baskerville"/>
          <w:b/>
          <w:i/>
          <w:sz w:val="28"/>
          <w:szCs w:val="28"/>
        </w:rPr>
      </w:pPr>
      <w:r w:rsidRPr="007963DE">
        <w:rPr>
          <w:rFonts w:ascii="Baskerville Old Face" w:hAnsi="Baskerville Old Face" w:cs="Baskerville"/>
          <w:b/>
          <w:i/>
          <w:sz w:val="28"/>
          <w:szCs w:val="28"/>
        </w:rPr>
        <w:t>Apply study reading systems to college textbook material.</w:t>
      </w:r>
    </w:p>
    <w:p w:rsidR="00322055" w:rsidRPr="007963DE" w:rsidRDefault="00322055" w:rsidP="00322055">
      <w:pPr>
        <w:pStyle w:val="NoSpacing"/>
        <w:rPr>
          <w:rFonts w:ascii="Baskerville Old Face" w:hAnsi="Baskerville Old Face" w:cs="Baskerville"/>
          <w:b/>
          <w:i/>
          <w:sz w:val="28"/>
          <w:szCs w:val="28"/>
        </w:rPr>
      </w:pPr>
      <w:r w:rsidRPr="007963DE">
        <w:rPr>
          <w:rFonts w:ascii="Baskerville Old Face" w:hAnsi="Baskerville Old Face" w:cs="Baskerville"/>
          <w:b/>
          <w:i/>
          <w:sz w:val="28"/>
          <w:szCs w:val="28"/>
        </w:rPr>
        <w:t>Employ general and content specific information literacy skills.</w:t>
      </w:r>
    </w:p>
    <w:p w:rsidR="00322055" w:rsidRPr="007963DE" w:rsidRDefault="00322055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</w:p>
    <w:p w:rsidR="00322055" w:rsidRDefault="00322055" w:rsidP="005E2019">
      <w:pPr>
        <w:pStyle w:val="NoSpacing"/>
        <w:ind w:left="2160" w:right="2160"/>
        <w:jc w:val="center"/>
        <w:rPr>
          <w:rFonts w:ascii="Baskerville Old Face" w:hAnsi="Baskerville Old Face" w:cs="Baskerville"/>
          <w:sz w:val="24"/>
          <w:szCs w:val="24"/>
        </w:rPr>
      </w:pPr>
      <w:r w:rsidRPr="007963DE">
        <w:rPr>
          <w:rFonts w:ascii="Baskerville Old Face" w:hAnsi="Baskerville Old Face" w:cs="Baskerville"/>
          <w:sz w:val="24"/>
          <w:szCs w:val="24"/>
        </w:rPr>
        <w:t xml:space="preserve">“Strength doesn’t come from what you can do.  It comes from overcoming the things you once thought you couldn’t.” </w:t>
      </w:r>
      <w:proofErr w:type="spellStart"/>
      <w:r w:rsidRPr="005E2019">
        <w:rPr>
          <w:rFonts w:ascii="Baskerville Old Face" w:hAnsi="Baskerville Old Face" w:cs="Baskerville"/>
          <w:i/>
          <w:sz w:val="24"/>
          <w:szCs w:val="24"/>
        </w:rPr>
        <w:t>Rikki</w:t>
      </w:r>
      <w:proofErr w:type="spellEnd"/>
      <w:r w:rsidRPr="005E2019">
        <w:rPr>
          <w:rFonts w:ascii="Baskerville Old Face" w:hAnsi="Baskerville Old Face" w:cs="Baskerville"/>
          <w:i/>
          <w:sz w:val="24"/>
          <w:szCs w:val="24"/>
        </w:rPr>
        <w:t xml:space="preserve"> Rogers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</w:p>
    <w:p w:rsidR="00FF30E0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 xml:space="preserve">The objective is to introduce students to the Reading Process.  Students should </w:t>
      </w:r>
      <w:r w:rsidR="00FF30E0">
        <w:rPr>
          <w:rFonts w:ascii="Baskerville Old Face" w:hAnsi="Baskerville Old Face" w:cs="Baskerville"/>
          <w:sz w:val="24"/>
          <w:szCs w:val="24"/>
        </w:rPr>
        <w:t>create</w:t>
      </w:r>
      <w:r>
        <w:rPr>
          <w:rFonts w:ascii="Baskerville Old Face" w:hAnsi="Baskerville Old Face" w:cs="Baskerville"/>
          <w:sz w:val="24"/>
          <w:szCs w:val="24"/>
        </w:rPr>
        <w:t xml:space="preserve"> an entry in their Reader’s Notebook labeled “The Reading Process”.  Move through the PPT at a comfortable pace and remind students that the PPT will be available after class on Canvas for them to add missing information to their</w:t>
      </w:r>
      <w:r w:rsidR="00FF30E0">
        <w:rPr>
          <w:rFonts w:ascii="Baskerville Old Face" w:hAnsi="Baskerville Old Face" w:cs="Baskerville"/>
          <w:sz w:val="24"/>
          <w:szCs w:val="24"/>
        </w:rPr>
        <w:t xml:space="preserve"> notes if the lesson moves too fast.  </w:t>
      </w:r>
    </w:p>
    <w:p w:rsidR="00FF30E0" w:rsidRDefault="00FF30E0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 xml:space="preserve">Use the </w:t>
      </w:r>
      <w:r w:rsidRPr="005E2019">
        <w:rPr>
          <w:rFonts w:ascii="Baskerville Old Face" w:hAnsi="Baskerville Old Face" w:cs="Baskerville"/>
          <w:i/>
          <w:sz w:val="24"/>
          <w:szCs w:val="24"/>
        </w:rPr>
        <w:t xml:space="preserve">Make </w:t>
      </w:r>
      <w:proofErr w:type="gramStart"/>
      <w:r w:rsidRPr="005E2019">
        <w:rPr>
          <w:rFonts w:ascii="Baskerville Old Face" w:hAnsi="Baskerville Old Face" w:cs="Baskerville"/>
          <w:i/>
          <w:sz w:val="24"/>
          <w:szCs w:val="24"/>
        </w:rPr>
        <w:t>Up</w:t>
      </w:r>
      <w:proofErr w:type="gramEnd"/>
      <w:r w:rsidRPr="005E2019">
        <w:rPr>
          <w:rFonts w:ascii="Baskerville Old Face" w:hAnsi="Baskerville Old Face" w:cs="Baskerville"/>
          <w:i/>
          <w:sz w:val="24"/>
          <w:szCs w:val="24"/>
        </w:rPr>
        <w:t xml:space="preserve"> Your Mind to Succeed </w:t>
      </w:r>
      <w:r>
        <w:rPr>
          <w:rFonts w:ascii="Baskerville Old Face" w:hAnsi="Baskerville Old Face" w:cs="Baskerville"/>
          <w:sz w:val="24"/>
          <w:szCs w:val="24"/>
        </w:rPr>
        <w:t>Anticipation Guide PDF to walk students through the “Before Reading” strategies.</w:t>
      </w:r>
      <w:r w:rsidR="00FF30E0">
        <w:rPr>
          <w:rFonts w:ascii="Baskerville Old Face" w:hAnsi="Baskerville Old Face" w:cs="Baskerville"/>
          <w:sz w:val="24"/>
          <w:szCs w:val="24"/>
        </w:rPr>
        <w:t xml:space="preserve">  Stop during this section of the PPT to apply the information to the reading.  This will engage students and provide opportunity for student questions.  </w:t>
      </w:r>
      <w:bookmarkStart w:id="0" w:name="_GoBack"/>
      <w:bookmarkEnd w:id="0"/>
      <w:r>
        <w:rPr>
          <w:rFonts w:ascii="Baskerville Old Face" w:hAnsi="Baskerville Old Face" w:cs="Baskerville"/>
          <w:sz w:val="24"/>
          <w:szCs w:val="24"/>
        </w:rPr>
        <w:t xml:space="preserve">  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i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 xml:space="preserve">Model “During Reading” strategies using </w:t>
      </w:r>
      <w:r w:rsidRPr="005E2019">
        <w:rPr>
          <w:rFonts w:ascii="Baskerville Old Face" w:hAnsi="Baskerville Old Face" w:cs="Baskerville"/>
          <w:i/>
          <w:sz w:val="24"/>
          <w:szCs w:val="24"/>
        </w:rPr>
        <w:t xml:space="preserve">Make </w:t>
      </w:r>
      <w:proofErr w:type="gramStart"/>
      <w:r w:rsidRPr="005E2019">
        <w:rPr>
          <w:rFonts w:ascii="Baskerville Old Face" w:hAnsi="Baskerville Old Face" w:cs="Baskerville"/>
          <w:i/>
          <w:sz w:val="24"/>
          <w:szCs w:val="24"/>
        </w:rPr>
        <w:t>Up</w:t>
      </w:r>
      <w:proofErr w:type="gramEnd"/>
      <w:r w:rsidRPr="005E2019">
        <w:rPr>
          <w:rFonts w:ascii="Baskerville Old Face" w:hAnsi="Baskerville Old Face" w:cs="Baskerville"/>
          <w:i/>
          <w:sz w:val="24"/>
          <w:szCs w:val="24"/>
        </w:rPr>
        <w:t xml:space="preserve"> Your Mind to Succeed</w:t>
      </w:r>
      <w:r>
        <w:rPr>
          <w:rFonts w:ascii="Baskerville Old Face" w:hAnsi="Baskerville Old Face" w:cs="Baskerville"/>
          <w:i/>
          <w:sz w:val="24"/>
          <w:szCs w:val="24"/>
        </w:rPr>
        <w:t>.</w:t>
      </w:r>
    </w:p>
    <w:p w:rsidR="005E2019" w:rsidRP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 w:rsidRPr="005E2019">
        <w:rPr>
          <w:rFonts w:ascii="Baskerville Old Face" w:hAnsi="Baskerville Old Face" w:cs="Baskerville"/>
          <w:sz w:val="24"/>
          <w:szCs w:val="24"/>
        </w:rPr>
        <w:t>Complete “After Reading” strategies by summarizing the article on the Exit Card.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</w:p>
    <w:p w:rsidR="005E2019" w:rsidRDefault="005E2019" w:rsidP="00322055">
      <w:pPr>
        <w:pStyle w:val="NoSpacing"/>
        <w:rPr>
          <w:rFonts w:ascii="Baskerville Old Face" w:hAnsi="Baskerville Old Face" w:cs="Baskerville"/>
          <w:b/>
          <w:sz w:val="24"/>
          <w:szCs w:val="24"/>
        </w:rPr>
      </w:pPr>
    </w:p>
    <w:p w:rsidR="005E2019" w:rsidRPr="005E2019" w:rsidRDefault="005E2019" w:rsidP="00322055">
      <w:pPr>
        <w:pStyle w:val="NoSpacing"/>
        <w:rPr>
          <w:rFonts w:ascii="Baskerville Old Face" w:hAnsi="Baskerville Old Face" w:cs="Baskerville"/>
          <w:b/>
          <w:sz w:val="24"/>
          <w:szCs w:val="24"/>
        </w:rPr>
      </w:pPr>
      <w:r w:rsidRPr="005E2019">
        <w:rPr>
          <w:rFonts w:ascii="Baskerville Old Face" w:hAnsi="Baskerville Old Face" w:cs="Baskerville"/>
          <w:b/>
          <w:sz w:val="24"/>
          <w:szCs w:val="24"/>
        </w:rPr>
        <w:t>Assignment: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proofErr w:type="gramStart"/>
      <w:r>
        <w:rPr>
          <w:rFonts w:ascii="Baskerville Old Face" w:hAnsi="Baskerville Old Face" w:cs="Baskerville"/>
          <w:sz w:val="24"/>
          <w:szCs w:val="24"/>
        </w:rPr>
        <w:t>Practice applying The Reading Process to the Even Geniuses article.</w:t>
      </w:r>
      <w:proofErr w:type="gramEnd"/>
      <w:r>
        <w:rPr>
          <w:rFonts w:ascii="Baskerville Old Face" w:hAnsi="Baskerville Old Face" w:cs="Baskerville"/>
          <w:sz w:val="24"/>
          <w:szCs w:val="24"/>
        </w:rPr>
        <w:t xml:space="preserve">  Complete the Anticipation Guide and read the article for the next class.  Be prepared for an Entrance Card quiz on the reading- students may use their annotations and anticipation guide to complete the Entrance Card.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</w:p>
    <w:p w:rsidR="005E2019" w:rsidRDefault="005E2019" w:rsidP="00322055">
      <w:pPr>
        <w:pStyle w:val="NoSpacing"/>
        <w:rPr>
          <w:rFonts w:ascii="Baskerville Old Face" w:hAnsi="Baskerville Old Face" w:cs="Baskerville"/>
          <w:b/>
          <w:sz w:val="24"/>
          <w:szCs w:val="24"/>
        </w:rPr>
      </w:pPr>
    </w:p>
    <w:p w:rsidR="007963DE" w:rsidRPr="005E2019" w:rsidRDefault="005E2019" w:rsidP="00322055">
      <w:pPr>
        <w:pStyle w:val="NoSpacing"/>
        <w:rPr>
          <w:rFonts w:ascii="Baskerville Old Face" w:hAnsi="Baskerville Old Face" w:cs="Baskerville"/>
          <w:b/>
          <w:sz w:val="24"/>
          <w:szCs w:val="24"/>
        </w:rPr>
      </w:pPr>
      <w:r w:rsidRPr="005E2019">
        <w:rPr>
          <w:rFonts w:ascii="Baskerville Old Face" w:hAnsi="Baskerville Old Face" w:cs="Baskerville"/>
          <w:b/>
          <w:sz w:val="24"/>
          <w:szCs w:val="24"/>
        </w:rPr>
        <w:t xml:space="preserve">Resources in </w:t>
      </w:r>
      <w:proofErr w:type="gramStart"/>
      <w:r w:rsidRPr="005E2019">
        <w:rPr>
          <w:rFonts w:ascii="Baskerville Old Face" w:hAnsi="Baskerville Old Face" w:cs="Baskerville"/>
          <w:b/>
          <w:sz w:val="24"/>
          <w:szCs w:val="24"/>
        </w:rPr>
        <w:t>The</w:t>
      </w:r>
      <w:proofErr w:type="gramEnd"/>
      <w:r w:rsidRPr="005E2019">
        <w:rPr>
          <w:rFonts w:ascii="Baskerville Old Face" w:hAnsi="Baskerville Old Face" w:cs="Baskerville"/>
          <w:b/>
          <w:sz w:val="24"/>
          <w:szCs w:val="24"/>
        </w:rPr>
        <w:t xml:space="preserve"> HUB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>The Reading Process PPT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>Make Up Your Mind to Succeed PDF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>Make Up Your Mind to Succeed Anticipation Guide PDF</w:t>
      </w:r>
    </w:p>
    <w:p w:rsidR="005E2019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>Even Geniuses PDF</w:t>
      </w:r>
    </w:p>
    <w:p w:rsidR="007963DE" w:rsidRPr="007963DE" w:rsidRDefault="005E2019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  <w:r>
        <w:rPr>
          <w:rFonts w:ascii="Baskerville Old Face" w:hAnsi="Baskerville Old Face" w:cs="Baskerville"/>
          <w:sz w:val="24"/>
          <w:szCs w:val="24"/>
        </w:rPr>
        <w:t>Even Geniuses Anticipation Guide PDF</w:t>
      </w:r>
    </w:p>
    <w:p w:rsidR="007963DE" w:rsidRPr="007963DE" w:rsidRDefault="007963DE" w:rsidP="00322055">
      <w:pPr>
        <w:pStyle w:val="NoSpacing"/>
        <w:rPr>
          <w:rFonts w:ascii="Baskerville Old Face" w:hAnsi="Baskerville Old Face" w:cs="Baskerville"/>
          <w:sz w:val="24"/>
          <w:szCs w:val="24"/>
        </w:rPr>
      </w:pPr>
    </w:p>
    <w:p w:rsidR="007963DE" w:rsidRPr="007963DE" w:rsidRDefault="007963DE" w:rsidP="00322055">
      <w:pPr>
        <w:pStyle w:val="NoSpacing"/>
        <w:rPr>
          <w:rFonts w:ascii="Baskerville Old Face" w:hAnsi="Baskerville Old Face" w:cs="Baskerville"/>
          <w:b/>
          <w:i/>
          <w:sz w:val="28"/>
          <w:szCs w:val="28"/>
        </w:rPr>
      </w:pPr>
    </w:p>
    <w:p w:rsidR="00322055" w:rsidRPr="00322055" w:rsidRDefault="00322055" w:rsidP="00322055">
      <w:pPr>
        <w:pStyle w:val="NoSpacing"/>
        <w:rPr>
          <w:rFonts w:asciiTheme="majorHAnsi" w:hAnsiTheme="majorHAnsi"/>
          <w:sz w:val="24"/>
          <w:szCs w:val="24"/>
        </w:rPr>
      </w:pPr>
    </w:p>
    <w:sectPr w:rsidR="00322055" w:rsidRPr="0032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55"/>
    <w:rsid w:val="00165551"/>
    <w:rsid w:val="00322055"/>
    <w:rsid w:val="005E2019"/>
    <w:rsid w:val="007963DE"/>
    <w:rsid w:val="00FF30E0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Cameron,Sara Kristin</dc:creator>
  <cp:lastModifiedBy>Cameron,Sara Kristin</cp:lastModifiedBy>
  <cp:revision>1</cp:revision>
  <cp:lastPrinted>2015-05-14T19:52:00Z</cp:lastPrinted>
  <dcterms:created xsi:type="dcterms:W3CDTF">2015-05-14T19:08:00Z</dcterms:created>
  <dcterms:modified xsi:type="dcterms:W3CDTF">2015-05-14T22:07:00Z</dcterms:modified>
</cp:coreProperties>
</file>